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74870C3"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Pr="00341812">
        <w:rPr>
          <w:rFonts w:eastAsia="Times New Roman"/>
          <w:b/>
          <w:sz w:val="24"/>
        </w:rPr>
        <w:tab/>
      </w:r>
      <w:r w:rsidR="006A64C8" w:rsidRPr="006A64C8">
        <w:rPr>
          <w:rFonts w:eastAsia="Times New Roman"/>
          <w:b/>
          <w:sz w:val="24"/>
        </w:rPr>
        <w:t>R2-2</w:t>
      </w:r>
      <w:r w:rsidR="007A7714">
        <w:rPr>
          <w:rFonts w:eastAsia="Times New Roman"/>
          <w:b/>
          <w:sz w:val="24"/>
        </w:rPr>
        <w:t>30</w:t>
      </w:r>
      <w:r w:rsidR="005A7E83">
        <w:rPr>
          <w:rFonts w:eastAsia="Times New Roman"/>
          <w:b/>
          <w:sz w:val="24"/>
        </w:rPr>
        <w:t>7377</w:t>
      </w:r>
    </w:p>
    <w:p w14:paraId="6D1CDF7B" w14:textId="111AE00E" w:rsidR="006D3016" w:rsidRPr="00341812" w:rsidRDefault="007A7714" w:rsidP="003C7C17">
      <w:pPr>
        <w:widowControl w:val="0"/>
        <w:tabs>
          <w:tab w:val="right" w:pos="9639"/>
        </w:tabs>
        <w:spacing w:before="0"/>
        <w:rPr>
          <w:rFonts w:eastAsia="Times New Roman"/>
          <w:b/>
          <w:bCs/>
          <w:sz w:val="24"/>
        </w:rPr>
      </w:pPr>
      <w:r>
        <w:rPr>
          <w:b/>
          <w:sz w:val="24"/>
        </w:rPr>
        <w:t>Toulouse, France</w:t>
      </w:r>
      <w:r w:rsidR="00032B71" w:rsidRPr="00032B71">
        <w:rPr>
          <w:b/>
          <w:sz w:val="24"/>
        </w:rPr>
        <w:t>,</w:t>
      </w:r>
      <w:r w:rsidR="00343478">
        <w:rPr>
          <w:b/>
          <w:sz w:val="24"/>
        </w:rPr>
        <w:t xml:space="preserve"> </w:t>
      </w:r>
      <w:r w:rsidR="00E64549">
        <w:rPr>
          <w:b/>
          <w:sz w:val="24"/>
        </w:rPr>
        <w:t>21</w:t>
      </w:r>
      <w:r w:rsidR="00343478">
        <w:rPr>
          <w:b/>
          <w:sz w:val="24"/>
        </w:rPr>
        <w:t>~25</w:t>
      </w:r>
      <w:r>
        <w:rPr>
          <w:b/>
          <w:sz w:val="24"/>
        </w:rPr>
        <w:t xml:space="preserve"> August</w:t>
      </w:r>
      <w:r w:rsidR="00E90DD7">
        <w:rPr>
          <w:b/>
          <w:sz w:val="24"/>
        </w:rPr>
        <w:t xml:space="preserve"> </w:t>
      </w:r>
      <w:r w:rsidR="00032B71" w:rsidRPr="00032B71">
        <w:rPr>
          <w:b/>
          <w:sz w:val="24"/>
        </w:rPr>
        <w:t>202</w:t>
      </w:r>
      <w:r>
        <w:rPr>
          <w:b/>
          <w:sz w:val="24"/>
        </w:rPr>
        <w:t>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7477E2B"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E64549">
        <w:rPr>
          <w:rFonts w:eastAsia="MS Mincho" w:cs="Arial"/>
          <w:b/>
          <w:sz w:val="24"/>
        </w:rPr>
        <w:t>6.1.3.1</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07CD818"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A7714">
        <w:rPr>
          <w:rFonts w:eastAsia="Times New Roman" w:cs="Arial"/>
          <w:b/>
          <w:sz w:val="24"/>
          <w:lang w:eastAsia="en-US"/>
        </w:rPr>
        <w:t>Discussion on the uniqueness of search space IDs among initial BWPs</w:t>
      </w:r>
    </w:p>
    <w:p w14:paraId="1FA36C2B" w14:textId="1BB607FF"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CD27FE" w:rsidRPr="00CD27FE">
        <w:rPr>
          <w:rFonts w:eastAsia="Times New Roman" w:cs="Arial"/>
          <w:b/>
          <w:sz w:val="24"/>
          <w:lang w:eastAsia="en-US"/>
        </w:rPr>
        <w:t>NR_redcap-Core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59A8545E" w:rsidR="003F08B2" w:rsidRDefault="00535FC5" w:rsidP="00904F69">
      <w:pPr>
        <w:ind w:left="0" w:firstLine="0"/>
      </w:pPr>
      <w:r>
        <w:t xml:space="preserve">In this </w:t>
      </w:r>
      <w:r w:rsidR="00626C38">
        <w:t xml:space="preserve">paper, we discuss whether </w:t>
      </w:r>
      <w:r w:rsidR="00804804">
        <w:t xml:space="preserve">IDs of CORESET and </w:t>
      </w:r>
      <w:r w:rsidR="002C7BC2">
        <w:t>search space</w:t>
      </w:r>
      <w:r w:rsidR="00804804">
        <w:t xml:space="preserve">s </w:t>
      </w:r>
      <w:r w:rsidR="002C7BC2">
        <w:t xml:space="preserve">should be unique among initial BWPs, </w:t>
      </w:r>
      <w:r w:rsidR="00804804">
        <w:t>e.g.</w:t>
      </w:r>
      <w:r w:rsidR="002C7BC2">
        <w:t xml:space="preserve"> between RedCap-specific initial BWP and initial BWP</w:t>
      </w:r>
      <w:r w:rsidR="00904F69">
        <w:t xml:space="preserve"> in a cell which supports RedCap</w:t>
      </w:r>
      <w:r w:rsidR="00ED7F4F">
        <w:t>.</w:t>
      </w:r>
    </w:p>
    <w:p w14:paraId="2AA25FB1" w14:textId="1123FFC4" w:rsidR="00AE3E14" w:rsidRDefault="00AE3E14" w:rsidP="00AE3E14">
      <w:pPr>
        <w:pStyle w:val="Heading1"/>
        <w:rPr>
          <w:lang w:val="en-US"/>
        </w:rPr>
      </w:pPr>
      <w:r w:rsidRPr="00341812">
        <w:rPr>
          <w:lang w:val="en-US"/>
        </w:rPr>
        <w:t>Discussion</w:t>
      </w:r>
    </w:p>
    <w:p w14:paraId="7309F051" w14:textId="61D86E7C" w:rsidR="0070670E" w:rsidRDefault="004101A7" w:rsidP="00CE5916">
      <w:pPr>
        <w:pStyle w:val="0Maintext"/>
        <w:spacing w:after="240" w:afterAutospacing="0" w:line="240" w:lineRule="auto"/>
        <w:ind w:left="0" w:firstLine="0"/>
        <w:jc w:val="left"/>
      </w:pPr>
      <w:r>
        <w:t xml:space="preserve">In TS 38.331, the </w:t>
      </w:r>
      <w:r w:rsidR="00BD65F9">
        <w:t xml:space="preserve">field descriptions of CORESET and search space specify that their IDs are unique </w:t>
      </w:r>
      <w:r w:rsidR="00FE0EDF">
        <w:t>among BWPs of a serving cell</w:t>
      </w:r>
      <w:r w:rsidR="00627B31">
        <w:t>, as illustrated below.</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CE5916" w:rsidRPr="00491232" w14:paraId="303A799D" w14:textId="77777777" w:rsidTr="003C50B5">
        <w:trPr>
          <w:trHeight w:val="1087"/>
        </w:trPr>
        <w:tc>
          <w:tcPr>
            <w:tcW w:w="8820" w:type="dxa"/>
            <w:tcBorders>
              <w:top w:val="single" w:sz="4" w:space="0" w:color="auto"/>
              <w:left w:val="single" w:sz="4" w:space="0" w:color="auto"/>
              <w:bottom w:val="single" w:sz="4" w:space="0" w:color="auto"/>
              <w:right w:val="single" w:sz="4" w:space="0" w:color="auto"/>
            </w:tcBorders>
            <w:hideMark/>
          </w:tcPr>
          <w:p w14:paraId="5C4590F4" w14:textId="77777777" w:rsidR="00CE5916" w:rsidRPr="00CE5916" w:rsidRDefault="00CE5916" w:rsidP="00294DE6">
            <w:pPr>
              <w:pStyle w:val="TAL"/>
              <w:snapToGrid w:val="0"/>
              <w:rPr>
                <w:color w:val="000000" w:themeColor="text1"/>
                <w:szCs w:val="22"/>
                <w:lang w:eastAsia="sv-SE"/>
              </w:rPr>
            </w:pPr>
            <w:r w:rsidRPr="00CE5916">
              <w:rPr>
                <w:b/>
                <w:i/>
                <w:color w:val="000000" w:themeColor="text1"/>
                <w:szCs w:val="22"/>
                <w:lang w:eastAsia="sv-SE"/>
              </w:rPr>
              <w:t>controlResourceSetId</w:t>
            </w:r>
          </w:p>
          <w:p w14:paraId="73D6C604" w14:textId="77777777" w:rsidR="00CE5916" w:rsidRPr="00CE5916" w:rsidRDefault="00CE5916" w:rsidP="00294DE6">
            <w:pPr>
              <w:pStyle w:val="TAL"/>
              <w:spacing w:before="0"/>
              <w:ind w:left="0" w:firstLine="0"/>
              <w:rPr>
                <w:color w:val="000000" w:themeColor="text1"/>
                <w:szCs w:val="22"/>
                <w:lang w:eastAsia="sv-SE"/>
              </w:rPr>
            </w:pPr>
            <w:r w:rsidRPr="00CE5916">
              <w:rPr>
                <w:color w:val="000000" w:themeColor="text1"/>
                <w:szCs w:val="22"/>
                <w:lang w:eastAsia="sv-SE"/>
              </w:rPr>
              <w:t xml:space="preserve">Identifies the instance of the </w:t>
            </w:r>
            <w:r w:rsidRPr="00CE5916">
              <w:rPr>
                <w:i/>
                <w:color w:val="000000" w:themeColor="text1"/>
                <w:szCs w:val="22"/>
                <w:lang w:eastAsia="sv-SE"/>
              </w:rPr>
              <w:t>ControlResourceSet</w:t>
            </w:r>
            <w:r w:rsidRPr="00CE5916">
              <w:rPr>
                <w:color w:val="000000" w:themeColor="text1"/>
                <w:szCs w:val="22"/>
                <w:lang w:eastAsia="sv-SE"/>
              </w:rPr>
              <w:t xml:space="preserve"> IE. Value 0 identifies the common CORESET configured in </w:t>
            </w:r>
            <w:r w:rsidRPr="00CE5916">
              <w:rPr>
                <w:i/>
                <w:color w:val="000000" w:themeColor="text1"/>
                <w:lang w:eastAsia="sv-SE"/>
              </w:rPr>
              <w:t>MIB</w:t>
            </w:r>
            <w:r w:rsidRPr="00CE5916">
              <w:rPr>
                <w:color w:val="000000" w:themeColor="text1"/>
                <w:szCs w:val="22"/>
                <w:lang w:eastAsia="sv-SE"/>
              </w:rPr>
              <w:t xml:space="preserve"> and in </w:t>
            </w:r>
            <w:r w:rsidRPr="00CE5916">
              <w:rPr>
                <w:i/>
                <w:color w:val="000000" w:themeColor="text1"/>
                <w:lang w:eastAsia="sv-SE"/>
              </w:rPr>
              <w:t>ServingCellConfigCommon</w:t>
            </w:r>
            <w:r w:rsidRPr="00CE5916">
              <w:rPr>
                <w:color w:val="000000" w:themeColor="text1"/>
                <w:szCs w:val="22"/>
                <w:lang w:eastAsia="sv-SE"/>
              </w:rPr>
              <w:t xml:space="preserve"> (</w:t>
            </w:r>
            <w:r w:rsidRPr="00CE5916">
              <w:rPr>
                <w:i/>
                <w:color w:val="000000" w:themeColor="text1"/>
                <w:lang w:eastAsia="sv-SE"/>
              </w:rPr>
              <w:t>controlResourceSetZero</w:t>
            </w:r>
            <w:r w:rsidRPr="00CE5916">
              <w:rPr>
                <w:color w:val="000000" w:themeColor="text1"/>
                <w:szCs w:val="22"/>
                <w:lang w:eastAsia="sv-SE"/>
              </w:rPr>
              <w:t xml:space="preserve">) and is hence not used here in the </w:t>
            </w:r>
            <w:r w:rsidRPr="00CE5916">
              <w:rPr>
                <w:i/>
                <w:color w:val="000000" w:themeColor="text1"/>
                <w:lang w:eastAsia="sv-SE"/>
              </w:rPr>
              <w:t>ControlResourceSet</w:t>
            </w:r>
            <w:r w:rsidRPr="00CE5916">
              <w:rPr>
                <w:color w:val="000000" w:themeColor="text1"/>
                <w:szCs w:val="22"/>
                <w:lang w:eastAsia="sv-SE"/>
              </w:rPr>
              <w:t xml:space="preserve"> IE. Other values identify CORESETs configured by dedicated signalling or in </w:t>
            </w:r>
            <w:r w:rsidRPr="00CE5916">
              <w:rPr>
                <w:i/>
                <w:color w:val="000000" w:themeColor="text1"/>
                <w:lang w:eastAsia="sv-SE"/>
              </w:rPr>
              <w:t xml:space="preserve">SIB1 </w:t>
            </w:r>
            <w:r w:rsidRPr="00CE5916">
              <w:rPr>
                <w:color w:val="000000" w:themeColor="text1"/>
                <w:lang w:eastAsia="sv-SE"/>
              </w:rPr>
              <w:t>or</w:t>
            </w:r>
            <w:r w:rsidRPr="00CE5916">
              <w:rPr>
                <w:i/>
                <w:color w:val="000000" w:themeColor="text1"/>
                <w:lang w:eastAsia="sv-SE"/>
              </w:rPr>
              <w:t xml:space="preserve"> SIB20</w:t>
            </w:r>
            <w:r w:rsidRPr="00CE5916">
              <w:rPr>
                <w:color w:val="000000" w:themeColor="text1"/>
                <w:szCs w:val="22"/>
                <w:lang w:eastAsia="sv-SE"/>
              </w:rPr>
              <w:t xml:space="preserve">. </w:t>
            </w:r>
            <w:r w:rsidRPr="00CE5916">
              <w:rPr>
                <w:color w:val="000000" w:themeColor="text1"/>
                <w:szCs w:val="22"/>
                <w:highlight w:val="yellow"/>
                <w:lang w:eastAsia="sv-SE"/>
              </w:rPr>
              <w:t xml:space="preserve">The </w:t>
            </w:r>
            <w:r w:rsidRPr="00CE5916">
              <w:rPr>
                <w:i/>
                <w:color w:val="000000" w:themeColor="text1"/>
                <w:highlight w:val="yellow"/>
                <w:lang w:eastAsia="sv-SE"/>
              </w:rPr>
              <w:t>controlResourceSetId</w:t>
            </w:r>
            <w:r w:rsidRPr="00CE5916">
              <w:rPr>
                <w:color w:val="000000" w:themeColor="text1"/>
                <w:szCs w:val="22"/>
                <w:highlight w:val="yellow"/>
                <w:lang w:eastAsia="sv-SE"/>
              </w:rPr>
              <w:t xml:space="preserve"> is unique among the BWPs of a serving cell.</w:t>
            </w:r>
          </w:p>
          <w:p w14:paraId="11777E71" w14:textId="77777777" w:rsidR="00CE5916" w:rsidRPr="00CE5916" w:rsidRDefault="00CE5916" w:rsidP="00C723A6">
            <w:pPr>
              <w:pStyle w:val="TAL"/>
              <w:spacing w:before="0" w:after="120"/>
              <w:ind w:left="0" w:firstLine="0"/>
              <w:rPr>
                <w:color w:val="000000" w:themeColor="text1"/>
                <w:szCs w:val="22"/>
                <w:lang w:eastAsia="sv-SE"/>
              </w:rPr>
            </w:pPr>
            <w:r w:rsidRPr="00CE5916">
              <w:rPr>
                <w:color w:val="000000" w:themeColor="text1"/>
                <w:szCs w:val="22"/>
                <w:lang w:eastAsia="sv-SE"/>
              </w:rPr>
              <w:t xml:space="preserve">If the field </w:t>
            </w:r>
            <w:r w:rsidRPr="00CE5916">
              <w:rPr>
                <w:i/>
                <w:color w:val="000000" w:themeColor="text1"/>
                <w:szCs w:val="22"/>
                <w:lang w:eastAsia="sv-SE"/>
              </w:rPr>
              <w:t>controlResourceSetId-v1610</w:t>
            </w:r>
            <w:r w:rsidRPr="00CE5916">
              <w:rPr>
                <w:color w:val="000000" w:themeColor="text1"/>
                <w:szCs w:val="22"/>
                <w:lang w:eastAsia="sv-SE"/>
              </w:rPr>
              <w:t xml:space="preserve"> is present, the UE shall ignore the </w:t>
            </w:r>
            <w:r w:rsidRPr="00CE5916">
              <w:rPr>
                <w:i/>
                <w:color w:val="000000" w:themeColor="text1"/>
                <w:szCs w:val="22"/>
                <w:lang w:eastAsia="sv-SE"/>
              </w:rPr>
              <w:t>controlResourceSetId</w:t>
            </w:r>
            <w:r w:rsidRPr="00CE5916">
              <w:rPr>
                <w:color w:val="000000" w:themeColor="text1"/>
                <w:szCs w:val="22"/>
                <w:lang w:eastAsia="sv-SE"/>
              </w:rPr>
              <w:t xml:space="preserve"> field (without suffix).</w:t>
            </w:r>
          </w:p>
        </w:tc>
      </w:tr>
    </w:tbl>
    <w:p w14:paraId="1F735B3B" w14:textId="77777777" w:rsidR="00FE0EDF" w:rsidRDefault="00FE0EDF" w:rsidP="00FE0EDF">
      <w:pPr>
        <w:pStyle w:val="0Maintext"/>
        <w:spacing w:after="0" w:afterAutospacing="0" w:line="240" w:lineRule="auto"/>
        <w:ind w:left="0" w:firstLine="0"/>
        <w:jc w:val="left"/>
      </w:pP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7B10AF" w:rsidRPr="00491232" w14:paraId="08035545" w14:textId="77777777" w:rsidTr="003C50B5">
        <w:trPr>
          <w:trHeight w:val="1346"/>
        </w:trPr>
        <w:tc>
          <w:tcPr>
            <w:tcW w:w="8820" w:type="dxa"/>
            <w:tcBorders>
              <w:top w:val="single" w:sz="4" w:space="0" w:color="auto"/>
              <w:left w:val="single" w:sz="4" w:space="0" w:color="auto"/>
              <w:bottom w:val="single" w:sz="4" w:space="0" w:color="auto"/>
              <w:right w:val="single" w:sz="4" w:space="0" w:color="auto"/>
            </w:tcBorders>
            <w:hideMark/>
          </w:tcPr>
          <w:p w14:paraId="5BA9A614" w14:textId="77777777" w:rsidR="007B10AF" w:rsidRPr="00491232" w:rsidRDefault="007B10AF" w:rsidP="00325E2D">
            <w:pPr>
              <w:pStyle w:val="TAL"/>
              <w:rPr>
                <w:color w:val="0070C0"/>
                <w:szCs w:val="22"/>
                <w:lang w:eastAsia="sv-SE"/>
              </w:rPr>
            </w:pPr>
            <w:r w:rsidRPr="007B10AF">
              <w:rPr>
                <w:b/>
                <w:i/>
                <w:color w:val="000000" w:themeColor="text1"/>
                <w:szCs w:val="22"/>
                <w:lang w:eastAsia="sv-SE"/>
              </w:rPr>
              <w:t>searchSpaceId</w:t>
            </w:r>
          </w:p>
          <w:p w14:paraId="165533FF" w14:textId="77777777" w:rsidR="007B10AF" w:rsidRPr="007B10AF" w:rsidRDefault="007B10AF" w:rsidP="007B10AF">
            <w:pPr>
              <w:pStyle w:val="TAL"/>
              <w:snapToGrid w:val="0"/>
              <w:spacing w:before="0"/>
              <w:ind w:left="0" w:firstLine="0"/>
              <w:rPr>
                <w:color w:val="000000" w:themeColor="text1"/>
                <w:szCs w:val="22"/>
                <w:lang w:eastAsia="sv-SE"/>
              </w:rPr>
            </w:pPr>
            <w:r w:rsidRPr="007B10AF">
              <w:rPr>
                <w:color w:val="000000" w:themeColor="text1"/>
                <w:szCs w:val="22"/>
                <w:lang w:eastAsia="sv-SE"/>
              </w:rPr>
              <w:t xml:space="preserve">Identity of the search space. SearchSpaceId = 0 identifies the </w:t>
            </w:r>
            <w:r w:rsidRPr="007B10AF">
              <w:rPr>
                <w:i/>
                <w:color w:val="000000" w:themeColor="text1"/>
                <w:szCs w:val="22"/>
                <w:lang w:eastAsia="sv-SE"/>
              </w:rPr>
              <w:t>searchSpaceZero</w:t>
            </w:r>
            <w:r w:rsidRPr="007B10AF">
              <w:rPr>
                <w:color w:val="000000" w:themeColor="text1"/>
                <w:szCs w:val="22"/>
                <w:lang w:eastAsia="sv-SE"/>
              </w:rPr>
              <w:t xml:space="preserve"> configured via PBCH (MIB) or </w:t>
            </w:r>
            <w:r w:rsidRPr="007B10AF">
              <w:rPr>
                <w:i/>
                <w:color w:val="000000" w:themeColor="text1"/>
                <w:szCs w:val="22"/>
                <w:lang w:eastAsia="sv-SE"/>
              </w:rPr>
              <w:t>ServingCellConfigCommon</w:t>
            </w:r>
            <w:r w:rsidRPr="007B10AF">
              <w:rPr>
                <w:color w:val="000000" w:themeColor="text1"/>
                <w:szCs w:val="22"/>
                <w:lang w:eastAsia="sv-SE"/>
              </w:rPr>
              <w:t xml:space="preserve"> and may hence not be used in the </w:t>
            </w:r>
            <w:r w:rsidRPr="007B10AF">
              <w:rPr>
                <w:i/>
                <w:color w:val="000000" w:themeColor="text1"/>
                <w:szCs w:val="22"/>
                <w:lang w:eastAsia="sv-SE"/>
              </w:rPr>
              <w:t>SearchSpace</w:t>
            </w:r>
            <w:r w:rsidRPr="007B10AF">
              <w:rPr>
                <w:color w:val="000000" w:themeColor="text1"/>
                <w:szCs w:val="22"/>
                <w:lang w:eastAsia="sv-SE"/>
              </w:rPr>
              <w:t xml:space="preserve"> IE. </w:t>
            </w:r>
            <w:r w:rsidRPr="007B10AF">
              <w:rPr>
                <w:color w:val="000000" w:themeColor="text1"/>
                <w:szCs w:val="22"/>
                <w:highlight w:val="yellow"/>
                <w:lang w:eastAsia="sv-SE"/>
              </w:rPr>
              <w:t xml:space="preserve">The </w:t>
            </w:r>
            <w:r w:rsidRPr="007B10AF">
              <w:rPr>
                <w:i/>
                <w:color w:val="000000" w:themeColor="text1"/>
                <w:szCs w:val="22"/>
                <w:highlight w:val="yellow"/>
                <w:lang w:eastAsia="sv-SE"/>
              </w:rPr>
              <w:t>searchSpaceId</w:t>
            </w:r>
            <w:r w:rsidRPr="007B10AF">
              <w:rPr>
                <w:color w:val="000000" w:themeColor="text1"/>
                <w:szCs w:val="22"/>
                <w:highlight w:val="yellow"/>
                <w:lang w:eastAsia="sv-SE"/>
              </w:rPr>
              <w:t xml:space="preserve"> is unique among the BWPs of a Serving Cell.</w:t>
            </w:r>
            <w:r w:rsidRPr="007B10AF">
              <w:rPr>
                <w:color w:val="000000" w:themeColor="text1"/>
                <w:szCs w:val="22"/>
                <w:lang w:eastAsia="sv-SE"/>
              </w:rPr>
              <w:t xml:space="preserve"> In case of cross carrier scheduling, search spaces with the same </w:t>
            </w:r>
            <w:r w:rsidRPr="007B10AF">
              <w:rPr>
                <w:i/>
                <w:color w:val="000000" w:themeColor="text1"/>
                <w:szCs w:val="22"/>
                <w:lang w:eastAsia="sv-SE"/>
              </w:rPr>
              <w:t>searchSpaceId</w:t>
            </w:r>
            <w:r w:rsidRPr="007B10AF">
              <w:rPr>
                <w:color w:val="000000" w:themeColor="text1"/>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DB8723C" w14:textId="77777777" w:rsidR="007B10AF" w:rsidRPr="00491232" w:rsidRDefault="007B10AF" w:rsidP="007B10AF">
            <w:pPr>
              <w:pStyle w:val="TAL"/>
              <w:snapToGrid w:val="0"/>
              <w:spacing w:before="0" w:after="120"/>
              <w:ind w:left="0" w:firstLine="0"/>
              <w:rPr>
                <w:color w:val="0070C0"/>
                <w:szCs w:val="22"/>
                <w:lang w:eastAsia="sv-SE"/>
              </w:rPr>
            </w:pPr>
            <w:r w:rsidRPr="007B10AF">
              <w:rPr>
                <w:color w:val="000000" w:themeColor="text1"/>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bl>
    <w:p w14:paraId="2010C930" w14:textId="7BBEFB7B" w:rsidR="007B10AF" w:rsidRDefault="001C00F2" w:rsidP="001C00F2">
      <w:pPr>
        <w:pStyle w:val="0Maintext"/>
        <w:spacing w:before="240" w:after="0" w:afterAutospacing="0" w:line="240" w:lineRule="auto"/>
        <w:ind w:left="0" w:firstLine="0"/>
        <w:jc w:val="left"/>
      </w:pPr>
      <w:r>
        <w:t xml:space="preserve">Since </w:t>
      </w:r>
      <w:r w:rsidR="006A5A66">
        <w:t xml:space="preserve">all </w:t>
      </w:r>
      <w:r w:rsidR="002A2894">
        <w:t>CORESETs</w:t>
      </w:r>
      <w:r w:rsidR="00BF52C0">
        <w:t xml:space="preserve"> and search spaces</w:t>
      </w:r>
      <w:r w:rsidR="002A2894">
        <w:t xml:space="preserve"> in </w:t>
      </w:r>
      <w:r w:rsidR="006D078D">
        <w:t xml:space="preserve">all </w:t>
      </w:r>
      <w:r w:rsidR="002A2894">
        <w:t xml:space="preserve">RRC </w:t>
      </w:r>
      <w:r w:rsidR="006D078D">
        <w:t xml:space="preserve">states </w:t>
      </w:r>
      <w:r w:rsidR="002A2894">
        <w:t xml:space="preserve">use the same IE, </w:t>
      </w:r>
      <w:r w:rsidR="00034273">
        <w:t xml:space="preserve">this </w:t>
      </w:r>
      <w:r w:rsidR="006B0C32">
        <w:t xml:space="preserve">configuration </w:t>
      </w:r>
      <w:r w:rsidR="00BF52C0">
        <w:t>granularity</w:t>
      </w:r>
      <w:r w:rsidR="006B0C32">
        <w:t xml:space="preserve"> that “</w:t>
      </w:r>
      <w:r w:rsidR="00BF52C0">
        <w:t>unique among the BWPs of a serving cell</w:t>
      </w:r>
      <w:r w:rsidR="006B0C32">
        <w:t xml:space="preserve">” </w:t>
      </w:r>
      <w:r w:rsidR="00BF52C0">
        <w:t xml:space="preserve">should </w:t>
      </w:r>
      <w:r w:rsidR="007D77A2">
        <w:t xml:space="preserve">hold in </w:t>
      </w:r>
      <w:r w:rsidR="00D167AE">
        <w:t>RRC Idle/I</w:t>
      </w:r>
      <w:r w:rsidR="007D77A2">
        <w:t>nactive configuratio</w:t>
      </w:r>
      <w:r w:rsidR="002864F3">
        <w:t xml:space="preserve">ns, as well as in RRC Connected. </w:t>
      </w:r>
    </w:p>
    <w:p w14:paraId="715D1E5C" w14:textId="19BBD3A7" w:rsidR="00EA675C" w:rsidRDefault="00EA675C" w:rsidP="00EF0130">
      <w:pPr>
        <w:ind w:left="1620" w:hanging="1620"/>
      </w:pPr>
      <w:r w:rsidRPr="00690EFD">
        <w:rPr>
          <w:b/>
          <w:bCs/>
        </w:rPr>
        <w:t>Observation 1</w:t>
      </w:r>
      <w:r w:rsidR="00EF0130">
        <w:rPr>
          <w:b/>
          <w:bCs/>
        </w:rPr>
        <w:t xml:space="preserve">. </w:t>
      </w:r>
      <w:r w:rsidR="00EF0130">
        <w:rPr>
          <w:b/>
          <w:bCs/>
        </w:rPr>
        <w:tab/>
      </w:r>
      <w:r w:rsidRPr="00690EFD">
        <w:rPr>
          <w:b/>
          <w:bCs/>
        </w:rPr>
        <w:t xml:space="preserve">RAN2 spec </w:t>
      </w:r>
      <w:r>
        <w:rPr>
          <w:b/>
          <w:bCs/>
        </w:rPr>
        <w:t>requires</w:t>
      </w:r>
      <w:r w:rsidRPr="00690EFD">
        <w:rPr>
          <w:b/>
          <w:bCs/>
        </w:rPr>
        <w:t xml:space="preserve"> that </w:t>
      </w:r>
      <w:r w:rsidRPr="00661749">
        <w:rPr>
          <w:b/>
          <w:bCs/>
          <w:i/>
          <w:iCs/>
        </w:rPr>
        <w:t>controlResourceSetId</w:t>
      </w:r>
      <w:r w:rsidRPr="00690EFD">
        <w:rPr>
          <w:b/>
          <w:bCs/>
        </w:rPr>
        <w:t xml:space="preserve"> and </w:t>
      </w:r>
      <w:r w:rsidRPr="00661749">
        <w:rPr>
          <w:b/>
          <w:bCs/>
          <w:i/>
          <w:iCs/>
        </w:rPr>
        <w:t>searchSpaceID</w:t>
      </w:r>
      <w:r w:rsidRPr="00690EFD">
        <w:rPr>
          <w:b/>
          <w:bCs/>
        </w:rPr>
        <w:t xml:space="preserve"> </w:t>
      </w:r>
      <w:r>
        <w:rPr>
          <w:b/>
          <w:bCs/>
        </w:rPr>
        <w:t xml:space="preserve">are </w:t>
      </w:r>
      <w:r w:rsidRPr="00690EFD">
        <w:rPr>
          <w:b/>
          <w:bCs/>
        </w:rPr>
        <w:t xml:space="preserve">unique among BWPs of a </w:t>
      </w:r>
      <w:r w:rsidR="00661749">
        <w:rPr>
          <w:b/>
          <w:bCs/>
        </w:rPr>
        <w:t>s</w:t>
      </w:r>
      <w:r w:rsidRPr="00690EFD">
        <w:rPr>
          <w:b/>
          <w:bCs/>
        </w:rPr>
        <w:t xml:space="preserve">erving </w:t>
      </w:r>
      <w:r w:rsidR="00661749">
        <w:rPr>
          <w:b/>
          <w:bCs/>
        </w:rPr>
        <w:t>c</w:t>
      </w:r>
      <w:r w:rsidRPr="00690EFD">
        <w:rPr>
          <w:b/>
          <w:bCs/>
        </w:rPr>
        <w:t>ell</w:t>
      </w:r>
      <w:r w:rsidR="00D72423">
        <w:rPr>
          <w:b/>
          <w:bCs/>
        </w:rPr>
        <w:t>, in all RRC states.</w:t>
      </w:r>
    </w:p>
    <w:p w14:paraId="0A6CBF08" w14:textId="6C6E3764" w:rsidR="002864F3" w:rsidRDefault="00BC5022" w:rsidP="008724E8">
      <w:pPr>
        <w:pStyle w:val="0Maintext"/>
        <w:spacing w:after="0" w:afterAutospacing="0" w:line="240" w:lineRule="auto"/>
        <w:ind w:left="0" w:firstLine="0"/>
        <w:jc w:val="left"/>
      </w:pPr>
      <w:r>
        <w:t xml:space="preserve">Now let us consider the specific case </w:t>
      </w:r>
      <w:r w:rsidR="00295D7C">
        <w:t>where</w:t>
      </w:r>
      <w:r>
        <w:t xml:space="preserve"> a serving cell which supports </w:t>
      </w:r>
      <w:r w:rsidR="00295D7C">
        <w:t>RedCap is configured with both RedCap-specific initial BWP and</w:t>
      </w:r>
      <w:r w:rsidR="00647D7E">
        <w:t xml:space="preserve"> </w:t>
      </w:r>
      <w:r w:rsidR="00153713">
        <w:t xml:space="preserve">initial BWP. </w:t>
      </w:r>
      <w:r w:rsidR="00184CCB">
        <w:t xml:space="preserve">And </w:t>
      </w:r>
      <w:r w:rsidR="00184CCB" w:rsidRPr="00184CCB">
        <w:t xml:space="preserve">RedCap UEs </w:t>
      </w:r>
      <w:r w:rsidR="00184CCB">
        <w:t>are</w:t>
      </w:r>
      <w:r w:rsidR="00184CCB" w:rsidRPr="00184CCB">
        <w:t xml:space="preserve"> configured to monitor system information and paging in </w:t>
      </w:r>
      <w:r w:rsidR="003F6F9C">
        <w:t xml:space="preserve">initial </w:t>
      </w:r>
      <w:r w:rsidR="003D56E6">
        <w:t xml:space="preserve">DL </w:t>
      </w:r>
      <w:r w:rsidR="003F6F9C">
        <w:t>BWP (</w:t>
      </w:r>
      <w:r w:rsidR="00317444" w:rsidRPr="00EF0AEB">
        <w:rPr>
          <w:i/>
          <w:iCs/>
        </w:rPr>
        <w:t>initialDownlinkBWP</w:t>
      </w:r>
      <w:r w:rsidR="00317444">
        <w:t xml:space="preserve">) </w:t>
      </w:r>
      <w:r w:rsidR="00184CCB" w:rsidRPr="00184CCB">
        <w:t xml:space="preserve">and </w:t>
      </w:r>
      <w:r w:rsidR="003D56E6">
        <w:t>monitors RAR in RedCap-specific initial DL BWP (</w:t>
      </w:r>
      <w:r w:rsidR="00184CCB" w:rsidRPr="00EF0AEB">
        <w:rPr>
          <w:i/>
          <w:iCs/>
        </w:rPr>
        <w:t>initialDownlinkBWP-RedCap-r17</w:t>
      </w:r>
      <w:r w:rsidR="003D56E6">
        <w:t>)</w:t>
      </w:r>
      <w:r w:rsidR="00A961EF">
        <w:t>, which is illustrated i</w:t>
      </w:r>
      <w:r w:rsidR="00184CCB" w:rsidRPr="00184CCB">
        <w:t xml:space="preserve">n </w:t>
      </w:r>
      <w:r w:rsidR="00A961EF">
        <w:t>F</w:t>
      </w:r>
      <w:r w:rsidR="00184CCB" w:rsidRPr="00184CCB">
        <w:t>igure 1.</w:t>
      </w:r>
    </w:p>
    <w:p w14:paraId="1BCE1ED7" w14:textId="22D85E3C" w:rsidR="008724E8" w:rsidRDefault="000A5052" w:rsidP="008724E8">
      <w:pPr>
        <w:pStyle w:val="0Maintext"/>
        <w:spacing w:after="0" w:afterAutospacing="0" w:line="240" w:lineRule="auto"/>
        <w:ind w:left="0" w:firstLine="0"/>
        <w:jc w:val="left"/>
      </w:pPr>
      <w:r>
        <w:t xml:space="preserve">According to the field descriptions of CORESET and search space, </w:t>
      </w:r>
      <w:r w:rsidR="00C723A6" w:rsidRPr="00C723A6">
        <w:t>search space</w:t>
      </w:r>
      <w:r w:rsidR="00E80CE3">
        <w:t>s</w:t>
      </w:r>
      <w:r w:rsidR="00F3137D">
        <w:t xml:space="preserve"> </w:t>
      </w:r>
      <w:r w:rsidR="00E80CE3">
        <w:t>(e.g. paging search space</w:t>
      </w:r>
      <w:r w:rsidR="00F3137D">
        <w:t xml:space="preserve">) on the </w:t>
      </w:r>
      <w:r w:rsidR="00E80CE3">
        <w:t xml:space="preserve">initial DL BWP </w:t>
      </w:r>
      <w:r w:rsidR="00F3137D">
        <w:t xml:space="preserve">and </w:t>
      </w:r>
      <w:r w:rsidR="00E80CE3">
        <w:t>search space</w:t>
      </w:r>
      <w:r w:rsidR="00185012">
        <w:t xml:space="preserve"> (e.g. RAR search space)</w:t>
      </w:r>
      <w:r w:rsidR="00E80CE3">
        <w:t xml:space="preserve"> in RedCap-specific initial DL BWP</w:t>
      </w:r>
      <w:r w:rsidR="00185012">
        <w:t xml:space="preserve"> should not share the same ID</w:t>
      </w:r>
      <w:r w:rsidR="00266FC0">
        <w:t>, as they should be unique in UE’s serving cell</w:t>
      </w:r>
      <w:r w:rsidR="00C723A6" w:rsidRPr="00C723A6">
        <w:t>.</w:t>
      </w:r>
      <w:r w:rsidR="005A777C">
        <w:t xml:space="preserve"> And from purely technical perspective, </w:t>
      </w:r>
      <w:r w:rsidR="00266FC0">
        <w:t xml:space="preserve">they should not </w:t>
      </w:r>
      <w:r w:rsidR="00F3137D">
        <w:t xml:space="preserve">because </w:t>
      </w:r>
      <w:r w:rsidR="00266FC0">
        <w:t xml:space="preserve">they are </w:t>
      </w:r>
      <w:r w:rsidR="00111B8B" w:rsidRPr="00111B8B">
        <w:t xml:space="preserve">tied to different </w:t>
      </w:r>
      <w:r w:rsidR="00EF0AEB">
        <w:t>CORESETs</w:t>
      </w:r>
      <w:r w:rsidR="00111B8B" w:rsidRPr="00111B8B">
        <w:t xml:space="preserve"> in frequency domain. </w:t>
      </w:r>
      <w:r w:rsidR="00F3137D">
        <w:t xml:space="preserve"> </w:t>
      </w:r>
    </w:p>
    <w:p w14:paraId="2905BA43" w14:textId="0C4F46A1" w:rsidR="00140B7B" w:rsidRDefault="00A37C77" w:rsidP="00EF0130">
      <w:pPr>
        <w:pStyle w:val="0Maintext"/>
        <w:spacing w:after="0" w:afterAutospacing="0" w:line="240" w:lineRule="auto"/>
        <w:ind w:left="0" w:firstLine="0"/>
        <w:jc w:val="center"/>
      </w:pPr>
      <w:r>
        <w:rPr>
          <w:noProof/>
        </w:rPr>
        <w:lastRenderedPageBreak/>
        <w:drawing>
          <wp:inline distT="0" distB="0" distL="0" distR="0" wp14:anchorId="6951BE23" wp14:editId="54894347">
            <wp:extent cx="4119562" cy="1446169"/>
            <wp:effectExtent l="0" t="0" r="0" b="1905"/>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8142" cy="1477265"/>
                    </a:xfrm>
                    <a:prstGeom prst="rect">
                      <a:avLst/>
                    </a:prstGeom>
                    <a:noFill/>
                  </pic:spPr>
                </pic:pic>
              </a:graphicData>
            </a:graphic>
          </wp:inline>
        </w:drawing>
      </w:r>
    </w:p>
    <w:p w14:paraId="20B92921" w14:textId="4DF41730" w:rsidR="00A961EF" w:rsidRDefault="00140B7B" w:rsidP="00977635">
      <w:pPr>
        <w:pStyle w:val="Caption"/>
        <w:spacing w:after="240"/>
        <w:jc w:val="center"/>
      </w:pPr>
      <w:r>
        <w:t xml:space="preserve">Figure </w:t>
      </w:r>
      <w:r w:rsidR="002F548A">
        <w:fldChar w:fldCharType="begin"/>
      </w:r>
      <w:r w:rsidR="002F548A">
        <w:instrText xml:space="preserve"> SEQ Figure \* ARABIC </w:instrText>
      </w:r>
      <w:r w:rsidR="002F548A">
        <w:fldChar w:fldCharType="separate"/>
      </w:r>
      <w:r>
        <w:rPr>
          <w:noProof/>
        </w:rPr>
        <w:t>1</w:t>
      </w:r>
      <w:r w:rsidR="002F548A">
        <w:rPr>
          <w:noProof/>
        </w:rPr>
        <w:fldChar w:fldCharType="end"/>
      </w:r>
      <w:r>
        <w:t>. RedCap-specific initial DL BWP and initial DL BWP in serving cell</w:t>
      </w:r>
    </w:p>
    <w:p w14:paraId="28D4CD93" w14:textId="13F206CD" w:rsidR="00A37C77" w:rsidRDefault="00A37C77" w:rsidP="00A37C77">
      <w:pPr>
        <w:pStyle w:val="0Maintext"/>
        <w:spacing w:after="0" w:afterAutospacing="0" w:line="240" w:lineRule="auto"/>
        <w:ind w:left="0" w:firstLine="0"/>
        <w:jc w:val="left"/>
      </w:pPr>
      <w:r>
        <w:t>If network configures the same IDs for different search spaces on initial DL BWP and RedCap-specific initial BWP, it can cause confusion for UE. For example, suppose a RedCap UE first monitors paging on paging search space (which has ID=1) in initial DL BWP and then switches to RedCap-specific initial BWP to perform RACH after it is paged. If the RAR search space also has ID of 1, UE would be confused as it would not know in which CORESET it should monitor PDCCH, unless it creates a proprietary mapping between BWP, search space and CORESET. However, this mapping clearly is against the configuration policy that CORESET IDs and search space IDs are not tied to BWPs, and it creates</w:t>
      </w:r>
      <w:r w:rsidR="0057208C">
        <w:t xml:space="preserve"> </w:t>
      </w:r>
      <w:r>
        <w:t xml:space="preserve">unnecessary </w:t>
      </w:r>
      <w:r w:rsidR="004F5222">
        <w:t>implementation</w:t>
      </w:r>
      <w:r w:rsidR="00EB575B">
        <w:t xml:space="preserve"> complexity</w:t>
      </w:r>
      <w:r>
        <w:t xml:space="preserve"> for RedCap UEs.</w:t>
      </w:r>
    </w:p>
    <w:p w14:paraId="36A2CFA4" w14:textId="6E486630" w:rsidR="00D97EC5" w:rsidRDefault="00EF0130" w:rsidP="0057208C">
      <w:pPr>
        <w:ind w:left="1620" w:hanging="1620"/>
        <w:rPr>
          <w:b/>
          <w:bCs/>
          <w:lang w:val="en-GB"/>
        </w:rPr>
      </w:pPr>
      <w:r w:rsidRPr="00EF0130">
        <w:rPr>
          <w:b/>
          <w:bCs/>
          <w:lang w:val="en-GB"/>
        </w:rPr>
        <w:t>Observation 2</w:t>
      </w:r>
      <w:r w:rsidR="0057208C">
        <w:rPr>
          <w:b/>
          <w:bCs/>
          <w:lang w:val="en-GB"/>
        </w:rPr>
        <w:t xml:space="preserve">. </w:t>
      </w:r>
      <w:r w:rsidR="0057208C">
        <w:rPr>
          <w:b/>
          <w:bCs/>
          <w:lang w:val="en-GB"/>
        </w:rPr>
        <w:tab/>
      </w:r>
      <w:r w:rsidRPr="00EF0130">
        <w:rPr>
          <w:b/>
          <w:bCs/>
          <w:lang w:val="en-GB"/>
        </w:rPr>
        <w:t xml:space="preserve">Use of same </w:t>
      </w:r>
      <w:r w:rsidR="00806222">
        <w:rPr>
          <w:b/>
          <w:bCs/>
          <w:lang w:val="en-GB"/>
        </w:rPr>
        <w:t>search space</w:t>
      </w:r>
      <w:r w:rsidRPr="00EF0130">
        <w:rPr>
          <w:b/>
          <w:bCs/>
          <w:lang w:val="en-GB"/>
        </w:rPr>
        <w:t xml:space="preserve"> ID between </w:t>
      </w:r>
      <w:r w:rsidRPr="00661749">
        <w:rPr>
          <w:b/>
          <w:bCs/>
          <w:i/>
          <w:iCs/>
          <w:lang w:val="en-GB"/>
        </w:rPr>
        <w:t>initialDownlinkBWP</w:t>
      </w:r>
      <w:r w:rsidRPr="00EF0130">
        <w:rPr>
          <w:b/>
          <w:bCs/>
          <w:lang w:val="en-GB"/>
        </w:rPr>
        <w:t xml:space="preserve"> and </w:t>
      </w:r>
      <w:r w:rsidRPr="00661749">
        <w:rPr>
          <w:b/>
          <w:bCs/>
          <w:i/>
          <w:iCs/>
          <w:lang w:val="en-GB"/>
        </w:rPr>
        <w:t>initialDownlinkBWP</w:t>
      </w:r>
      <w:r w:rsidRPr="00EF0130">
        <w:rPr>
          <w:b/>
          <w:bCs/>
          <w:lang w:val="en-GB"/>
        </w:rPr>
        <w:t>-</w:t>
      </w:r>
      <w:r w:rsidRPr="00661749">
        <w:rPr>
          <w:b/>
          <w:bCs/>
          <w:i/>
          <w:iCs/>
          <w:lang w:val="en-GB"/>
        </w:rPr>
        <w:t>RedCap-r17</w:t>
      </w:r>
      <w:r w:rsidRPr="00EF0130">
        <w:rPr>
          <w:b/>
          <w:bCs/>
          <w:lang w:val="en-GB"/>
        </w:rPr>
        <w:t xml:space="preserve"> </w:t>
      </w:r>
      <w:r w:rsidR="00D97EC5">
        <w:rPr>
          <w:b/>
          <w:bCs/>
          <w:lang w:val="en-GB"/>
        </w:rPr>
        <w:t>can confuse a RedCap</w:t>
      </w:r>
      <w:r w:rsidR="0083688E">
        <w:rPr>
          <w:b/>
          <w:bCs/>
          <w:lang w:val="en-GB"/>
        </w:rPr>
        <w:t xml:space="preserve"> UE </w:t>
      </w:r>
      <w:r w:rsidR="00D97EC5">
        <w:rPr>
          <w:b/>
          <w:bCs/>
          <w:lang w:val="en-GB"/>
        </w:rPr>
        <w:t>about which CORESET to monitor</w:t>
      </w:r>
      <w:r w:rsidR="003F3A85">
        <w:rPr>
          <w:b/>
          <w:bCs/>
          <w:lang w:val="en-GB"/>
        </w:rPr>
        <w:t>.</w:t>
      </w:r>
      <w:r w:rsidR="00D97EC5">
        <w:rPr>
          <w:b/>
          <w:bCs/>
          <w:lang w:val="en-GB"/>
        </w:rPr>
        <w:t xml:space="preserve"> </w:t>
      </w:r>
      <w:r w:rsidR="004F5222">
        <w:rPr>
          <w:b/>
          <w:bCs/>
          <w:lang w:val="en-GB"/>
        </w:rPr>
        <w:t xml:space="preserve">That creates </w:t>
      </w:r>
      <w:r w:rsidR="0057208C" w:rsidRPr="0057208C">
        <w:rPr>
          <w:b/>
          <w:bCs/>
          <w:lang w:val="en-GB"/>
        </w:rPr>
        <w:t>unnecessary implementation</w:t>
      </w:r>
      <w:r w:rsidR="00EB575B">
        <w:rPr>
          <w:b/>
          <w:bCs/>
          <w:lang w:val="en-GB"/>
        </w:rPr>
        <w:t xml:space="preserve"> complexity</w:t>
      </w:r>
      <w:r w:rsidR="0057208C" w:rsidRPr="0057208C">
        <w:rPr>
          <w:b/>
          <w:bCs/>
          <w:lang w:val="en-GB"/>
        </w:rPr>
        <w:t xml:space="preserve"> for RedCap UEs.</w:t>
      </w:r>
    </w:p>
    <w:p w14:paraId="7F51B010" w14:textId="2220E9AC" w:rsidR="00140B7B" w:rsidRDefault="00977635" w:rsidP="001B780C">
      <w:pPr>
        <w:ind w:left="0" w:firstLine="0"/>
      </w:pPr>
      <w:r>
        <w:t xml:space="preserve">We therefore kindly request RAN2 to confirm that </w:t>
      </w:r>
      <w:r w:rsidR="00B5652A">
        <w:t xml:space="preserve">IDs of CORESETs and </w:t>
      </w:r>
      <w:r>
        <w:t>search space IDs are unique b</w:t>
      </w:r>
      <w:r w:rsidR="001B780C">
        <w:t xml:space="preserve">etween RedCap-specific initial BWP and initial BWP. </w:t>
      </w:r>
    </w:p>
    <w:p w14:paraId="05438D7A" w14:textId="46D7B96C" w:rsidR="001B780C" w:rsidRPr="006843B5" w:rsidRDefault="0091185C" w:rsidP="006843B5">
      <w:pPr>
        <w:ind w:left="1620" w:hanging="1620"/>
        <w:rPr>
          <w:b/>
          <w:bCs/>
        </w:rPr>
      </w:pPr>
      <w:r w:rsidRPr="006843B5">
        <w:rPr>
          <w:b/>
          <w:bCs/>
        </w:rPr>
        <w:t>Proposal</w:t>
      </w:r>
      <w:r w:rsidR="006843B5">
        <w:rPr>
          <w:b/>
          <w:bCs/>
        </w:rPr>
        <w:t xml:space="preserve"> 1</w:t>
      </w:r>
      <w:r w:rsidRPr="006843B5">
        <w:rPr>
          <w:b/>
          <w:bCs/>
        </w:rPr>
        <w:t>.</w:t>
      </w:r>
      <w:r w:rsidRPr="006843B5">
        <w:rPr>
          <w:b/>
          <w:bCs/>
        </w:rPr>
        <w:tab/>
        <w:t xml:space="preserve">RAN2 confirm that </w:t>
      </w:r>
      <w:r w:rsidR="002D466B">
        <w:rPr>
          <w:b/>
          <w:bCs/>
        </w:rPr>
        <w:t xml:space="preserve">IDs of CORESETs and </w:t>
      </w:r>
      <w:r w:rsidRPr="006843B5">
        <w:rPr>
          <w:b/>
          <w:bCs/>
        </w:rPr>
        <w:t>search space</w:t>
      </w:r>
      <w:r w:rsidR="002D466B">
        <w:rPr>
          <w:b/>
          <w:bCs/>
        </w:rPr>
        <w:t>s</w:t>
      </w:r>
      <w:r w:rsidRPr="006843B5">
        <w:rPr>
          <w:b/>
          <w:bCs/>
        </w:rPr>
        <w:t xml:space="preserve"> are unique between </w:t>
      </w:r>
      <w:r w:rsidR="002F548A" w:rsidRPr="006843B5">
        <w:rPr>
          <w:b/>
          <w:bCs/>
        </w:rPr>
        <w:t>initial BWP and RedCap-specific initial BWP.</w:t>
      </w:r>
      <w:r w:rsidR="006843B5" w:rsidRPr="006843B5">
        <w:rPr>
          <w:b/>
          <w:bCs/>
        </w:rPr>
        <w:t>.</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843B5">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760C8889" w14:textId="2AC9399F" w:rsidR="006843B5" w:rsidRDefault="006843B5" w:rsidP="006843B5">
      <w:pPr>
        <w:ind w:left="1620" w:hanging="1620"/>
      </w:pPr>
      <w:r w:rsidRPr="00690EFD">
        <w:rPr>
          <w:b/>
          <w:bCs/>
        </w:rPr>
        <w:t>Observation 1</w:t>
      </w:r>
      <w:r>
        <w:rPr>
          <w:b/>
          <w:bCs/>
        </w:rPr>
        <w:t xml:space="preserve">. </w:t>
      </w:r>
      <w:r>
        <w:rPr>
          <w:b/>
          <w:bCs/>
        </w:rPr>
        <w:tab/>
      </w:r>
      <w:r w:rsidRPr="00690EFD">
        <w:rPr>
          <w:b/>
          <w:bCs/>
        </w:rPr>
        <w:t xml:space="preserve">RAN2 spec </w:t>
      </w:r>
      <w:r>
        <w:rPr>
          <w:b/>
          <w:bCs/>
        </w:rPr>
        <w:t>requires</w:t>
      </w:r>
      <w:r w:rsidRPr="00690EFD">
        <w:rPr>
          <w:b/>
          <w:bCs/>
        </w:rPr>
        <w:t xml:space="preserve"> that </w:t>
      </w:r>
      <w:r w:rsidRPr="00661749">
        <w:rPr>
          <w:b/>
          <w:bCs/>
          <w:i/>
          <w:iCs/>
        </w:rPr>
        <w:t>controlResourceSetId</w:t>
      </w:r>
      <w:r w:rsidRPr="00690EFD">
        <w:rPr>
          <w:b/>
          <w:bCs/>
        </w:rPr>
        <w:t xml:space="preserve"> and </w:t>
      </w:r>
      <w:r w:rsidRPr="00661749">
        <w:rPr>
          <w:b/>
          <w:bCs/>
          <w:i/>
          <w:iCs/>
        </w:rPr>
        <w:t>searchSpaceID</w:t>
      </w:r>
      <w:r w:rsidRPr="00690EFD">
        <w:rPr>
          <w:b/>
          <w:bCs/>
        </w:rPr>
        <w:t xml:space="preserve"> </w:t>
      </w:r>
      <w:r>
        <w:rPr>
          <w:b/>
          <w:bCs/>
        </w:rPr>
        <w:t xml:space="preserve">are </w:t>
      </w:r>
      <w:r w:rsidRPr="00690EFD">
        <w:rPr>
          <w:b/>
          <w:bCs/>
        </w:rPr>
        <w:t xml:space="preserve">unique among BWPs of a </w:t>
      </w:r>
      <w:r w:rsidR="00661749">
        <w:rPr>
          <w:b/>
          <w:bCs/>
        </w:rPr>
        <w:t>s</w:t>
      </w:r>
      <w:r w:rsidRPr="00690EFD">
        <w:rPr>
          <w:b/>
          <w:bCs/>
        </w:rPr>
        <w:t xml:space="preserve">erving </w:t>
      </w:r>
      <w:r w:rsidR="00661749">
        <w:rPr>
          <w:b/>
          <w:bCs/>
        </w:rPr>
        <w:t>c</w:t>
      </w:r>
      <w:r w:rsidRPr="00690EFD">
        <w:rPr>
          <w:b/>
          <w:bCs/>
        </w:rPr>
        <w:t>ell</w:t>
      </w:r>
      <w:r>
        <w:rPr>
          <w:b/>
          <w:bCs/>
        </w:rPr>
        <w:t>, in all RRC states.</w:t>
      </w:r>
    </w:p>
    <w:p w14:paraId="6ECDE747" w14:textId="3E7E3C26" w:rsidR="006843B5" w:rsidRDefault="006843B5" w:rsidP="006843B5">
      <w:pPr>
        <w:ind w:left="1620" w:hanging="1620"/>
        <w:rPr>
          <w:b/>
          <w:bCs/>
          <w:lang w:val="en-GB"/>
        </w:rPr>
      </w:pPr>
      <w:r w:rsidRPr="00EF0130">
        <w:rPr>
          <w:b/>
          <w:bCs/>
          <w:lang w:val="en-GB"/>
        </w:rPr>
        <w:t>Observation 2</w:t>
      </w:r>
      <w:r>
        <w:rPr>
          <w:b/>
          <w:bCs/>
          <w:lang w:val="en-GB"/>
        </w:rPr>
        <w:t xml:space="preserve">. </w:t>
      </w:r>
      <w:r>
        <w:rPr>
          <w:b/>
          <w:bCs/>
          <w:lang w:val="en-GB"/>
        </w:rPr>
        <w:tab/>
      </w:r>
      <w:r w:rsidRPr="00EF0130">
        <w:rPr>
          <w:b/>
          <w:bCs/>
          <w:lang w:val="en-GB"/>
        </w:rPr>
        <w:t xml:space="preserve">Use of same </w:t>
      </w:r>
      <w:r>
        <w:rPr>
          <w:b/>
          <w:bCs/>
          <w:lang w:val="en-GB"/>
        </w:rPr>
        <w:t>search space</w:t>
      </w:r>
      <w:r w:rsidRPr="00EF0130">
        <w:rPr>
          <w:b/>
          <w:bCs/>
          <w:lang w:val="en-GB"/>
        </w:rPr>
        <w:t xml:space="preserve"> ID between </w:t>
      </w:r>
      <w:r w:rsidRPr="00661749">
        <w:rPr>
          <w:b/>
          <w:bCs/>
          <w:i/>
          <w:iCs/>
          <w:lang w:val="en-GB"/>
        </w:rPr>
        <w:t>initialDownlinkBWP</w:t>
      </w:r>
      <w:r w:rsidRPr="00EF0130">
        <w:rPr>
          <w:b/>
          <w:bCs/>
          <w:lang w:val="en-GB"/>
        </w:rPr>
        <w:t xml:space="preserve"> and </w:t>
      </w:r>
      <w:r w:rsidRPr="00661749">
        <w:rPr>
          <w:b/>
          <w:bCs/>
          <w:i/>
          <w:iCs/>
          <w:lang w:val="en-GB"/>
        </w:rPr>
        <w:t>initialDownlinkBWP-RedCap-r17</w:t>
      </w:r>
      <w:r w:rsidRPr="00EF0130">
        <w:rPr>
          <w:b/>
          <w:bCs/>
          <w:lang w:val="en-GB"/>
        </w:rPr>
        <w:t xml:space="preserve"> </w:t>
      </w:r>
      <w:r>
        <w:rPr>
          <w:b/>
          <w:bCs/>
          <w:lang w:val="en-GB"/>
        </w:rPr>
        <w:t xml:space="preserve">can confuse a RedCap UE about which CORESET to monitor. That creates </w:t>
      </w:r>
      <w:r w:rsidRPr="0057208C">
        <w:rPr>
          <w:b/>
          <w:bCs/>
          <w:lang w:val="en-GB"/>
        </w:rPr>
        <w:t>unnecessary implementation</w:t>
      </w:r>
      <w:r w:rsidR="00EB575B">
        <w:rPr>
          <w:b/>
          <w:bCs/>
          <w:lang w:val="en-GB"/>
        </w:rPr>
        <w:t xml:space="preserve"> complexity </w:t>
      </w:r>
      <w:r w:rsidRPr="0057208C">
        <w:rPr>
          <w:b/>
          <w:bCs/>
          <w:lang w:val="en-GB"/>
        </w:rPr>
        <w:t>for RedCap UEs.</w:t>
      </w:r>
    </w:p>
    <w:p w14:paraId="2147AF65" w14:textId="087A3416" w:rsidR="006843B5" w:rsidRPr="006843B5" w:rsidRDefault="006843B5" w:rsidP="006843B5">
      <w:pPr>
        <w:ind w:left="1620" w:hanging="1620"/>
        <w:rPr>
          <w:b/>
          <w:bCs/>
        </w:rPr>
      </w:pPr>
      <w:r w:rsidRPr="006843B5">
        <w:rPr>
          <w:b/>
          <w:bCs/>
        </w:rPr>
        <w:t>Proposal</w:t>
      </w:r>
      <w:r>
        <w:rPr>
          <w:b/>
          <w:bCs/>
        </w:rPr>
        <w:t xml:space="preserve"> 1</w:t>
      </w:r>
      <w:r w:rsidRPr="006843B5">
        <w:rPr>
          <w:b/>
          <w:bCs/>
        </w:rPr>
        <w:t>.</w:t>
      </w:r>
      <w:r w:rsidRPr="006843B5">
        <w:rPr>
          <w:b/>
          <w:bCs/>
        </w:rPr>
        <w:tab/>
        <w:t xml:space="preserve">RAN2 confirm that </w:t>
      </w:r>
      <w:r w:rsidR="002D466B">
        <w:rPr>
          <w:b/>
          <w:bCs/>
        </w:rPr>
        <w:t xml:space="preserve">IDs of CORESETs and </w:t>
      </w:r>
      <w:r w:rsidR="002D466B" w:rsidRPr="006843B5">
        <w:rPr>
          <w:b/>
          <w:bCs/>
        </w:rPr>
        <w:t>search space</w:t>
      </w:r>
      <w:r w:rsidR="002D466B">
        <w:rPr>
          <w:b/>
          <w:bCs/>
        </w:rPr>
        <w:t>s</w:t>
      </w:r>
      <w:r w:rsidR="002D466B" w:rsidRPr="006843B5">
        <w:rPr>
          <w:b/>
          <w:bCs/>
        </w:rPr>
        <w:t xml:space="preserve"> </w:t>
      </w:r>
      <w:r w:rsidRPr="006843B5">
        <w:rPr>
          <w:b/>
          <w:bCs/>
        </w:rPr>
        <w:t xml:space="preserve">are unique between </w:t>
      </w:r>
      <w:r w:rsidR="002F548A" w:rsidRPr="006843B5">
        <w:rPr>
          <w:b/>
          <w:bCs/>
        </w:rPr>
        <w:t>initial BWP</w:t>
      </w:r>
      <w:r w:rsidR="002F548A" w:rsidRPr="006843B5">
        <w:rPr>
          <w:b/>
          <w:bCs/>
        </w:rPr>
        <w:t xml:space="preserve"> </w:t>
      </w:r>
      <w:r w:rsidR="002F548A" w:rsidRPr="006843B5">
        <w:rPr>
          <w:b/>
          <w:bCs/>
        </w:rPr>
        <w:t>and</w:t>
      </w:r>
      <w:r w:rsidR="002F548A" w:rsidRPr="006843B5">
        <w:rPr>
          <w:b/>
          <w:bCs/>
        </w:rPr>
        <w:t xml:space="preserve"> </w:t>
      </w:r>
      <w:r w:rsidRPr="006843B5">
        <w:rPr>
          <w:b/>
          <w:bCs/>
        </w:rPr>
        <w:t>RedCap-specific initial BWP.</w:t>
      </w:r>
    </w:p>
    <w:sectPr w:rsidR="006843B5" w:rsidRPr="006843B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B8C79" w14:textId="77777777" w:rsidR="005E1053" w:rsidRDefault="005E1053">
      <w:r>
        <w:separator/>
      </w:r>
    </w:p>
    <w:p w14:paraId="1D18F133" w14:textId="77777777" w:rsidR="005E1053" w:rsidRDefault="005E1053"/>
  </w:endnote>
  <w:endnote w:type="continuationSeparator" w:id="0">
    <w:p w14:paraId="0A1F90BA" w14:textId="77777777" w:rsidR="005E1053" w:rsidRDefault="005E1053">
      <w:r>
        <w:continuationSeparator/>
      </w:r>
    </w:p>
    <w:p w14:paraId="77FFDB1A" w14:textId="77777777" w:rsidR="005E1053" w:rsidRDefault="005E1053"/>
  </w:endnote>
  <w:endnote w:type="continuationNotice" w:id="1">
    <w:p w14:paraId="7129D4E2" w14:textId="77777777" w:rsidR="005E1053" w:rsidRDefault="005E1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B3386" w14:textId="77777777" w:rsidR="005E1053" w:rsidRDefault="005E1053">
      <w:r>
        <w:separator/>
      </w:r>
    </w:p>
    <w:p w14:paraId="3DC48328" w14:textId="77777777" w:rsidR="005E1053" w:rsidRDefault="005E1053"/>
  </w:footnote>
  <w:footnote w:type="continuationSeparator" w:id="0">
    <w:p w14:paraId="0D252B46" w14:textId="77777777" w:rsidR="005E1053" w:rsidRDefault="005E1053">
      <w:r>
        <w:continuationSeparator/>
      </w:r>
    </w:p>
    <w:p w14:paraId="65F9DDFD" w14:textId="77777777" w:rsidR="005E1053" w:rsidRDefault="005E1053"/>
  </w:footnote>
  <w:footnote w:type="continuationNotice" w:id="1">
    <w:p w14:paraId="7744D579" w14:textId="77777777" w:rsidR="005E1053" w:rsidRDefault="005E1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29"/>
  </w:num>
  <w:num w:numId="2" w16cid:durableId="1106731995">
    <w:abstractNumId w:val="28"/>
  </w:num>
  <w:num w:numId="3" w16cid:durableId="724328191">
    <w:abstractNumId w:val="11"/>
  </w:num>
  <w:num w:numId="4" w16cid:durableId="1901552264">
    <w:abstractNumId w:val="21"/>
  </w:num>
  <w:num w:numId="5" w16cid:durableId="1716928470">
    <w:abstractNumId w:val="2"/>
  </w:num>
  <w:num w:numId="6" w16cid:durableId="1214544560">
    <w:abstractNumId w:val="6"/>
  </w:num>
  <w:num w:numId="7" w16cid:durableId="1691367888">
    <w:abstractNumId w:val="26"/>
  </w:num>
  <w:num w:numId="8" w16cid:durableId="1215239444">
    <w:abstractNumId w:val="20"/>
  </w:num>
  <w:num w:numId="9" w16cid:durableId="224265962">
    <w:abstractNumId w:val="8"/>
  </w:num>
  <w:num w:numId="10" w16cid:durableId="1083263866">
    <w:abstractNumId w:val="3"/>
  </w:num>
  <w:num w:numId="11" w16cid:durableId="1471512398">
    <w:abstractNumId w:val="27"/>
  </w:num>
  <w:num w:numId="12" w16cid:durableId="658072407">
    <w:abstractNumId w:val="10"/>
  </w:num>
  <w:num w:numId="13" w16cid:durableId="948321690">
    <w:abstractNumId w:val="18"/>
  </w:num>
  <w:num w:numId="14" w16cid:durableId="155153636">
    <w:abstractNumId w:val="25"/>
  </w:num>
  <w:num w:numId="15" w16cid:durableId="763572169">
    <w:abstractNumId w:val="9"/>
  </w:num>
  <w:num w:numId="16" w16cid:durableId="671301666">
    <w:abstractNumId w:val="17"/>
  </w:num>
  <w:num w:numId="17" w16cid:durableId="926232065">
    <w:abstractNumId w:val="15"/>
  </w:num>
  <w:num w:numId="18" w16cid:durableId="1896963336">
    <w:abstractNumId w:val="19"/>
  </w:num>
  <w:num w:numId="19" w16cid:durableId="1301765396">
    <w:abstractNumId w:val="14"/>
  </w:num>
  <w:num w:numId="20" w16cid:durableId="123429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3"/>
  </w:num>
  <w:num w:numId="22" w16cid:durableId="337077379">
    <w:abstractNumId w:val="7"/>
  </w:num>
  <w:num w:numId="23" w16cid:durableId="577177824">
    <w:abstractNumId w:val="23"/>
  </w:num>
  <w:num w:numId="24" w16cid:durableId="1568220072">
    <w:abstractNumId w:val="12"/>
  </w:num>
  <w:num w:numId="25" w16cid:durableId="334651522">
    <w:abstractNumId w:val="1"/>
  </w:num>
  <w:num w:numId="26" w16cid:durableId="989675357">
    <w:abstractNumId w:val="31"/>
  </w:num>
  <w:num w:numId="27" w16cid:durableId="1341200108">
    <w:abstractNumId w:val="16"/>
  </w:num>
  <w:num w:numId="28" w16cid:durableId="856232972">
    <w:abstractNumId w:val="0"/>
  </w:num>
  <w:num w:numId="29" w16cid:durableId="376471508">
    <w:abstractNumId w:val="30"/>
  </w:num>
  <w:num w:numId="30" w16cid:durableId="1595936525">
    <w:abstractNumId w:val="5"/>
  </w:num>
  <w:num w:numId="31" w16cid:durableId="1629627487">
    <w:abstractNumId w:val="24"/>
  </w:num>
  <w:num w:numId="32" w16cid:durableId="1506821777">
    <w:abstractNumId w:val="22"/>
  </w:num>
  <w:num w:numId="33" w16cid:durableId="18784085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pNaAHBcIq4sAAAA"/>
  </w:docVars>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26D"/>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2EF7"/>
    <w:rsid w:val="00033F8E"/>
    <w:rsid w:val="00034273"/>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052"/>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3C4E"/>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B8B"/>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0B7B"/>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713"/>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4CCB"/>
    <w:rsid w:val="00185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0C"/>
    <w:rsid w:val="001B78DC"/>
    <w:rsid w:val="001B7DBC"/>
    <w:rsid w:val="001B7EF6"/>
    <w:rsid w:val="001C00F2"/>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6FC0"/>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4F3"/>
    <w:rsid w:val="002868A9"/>
    <w:rsid w:val="00287003"/>
    <w:rsid w:val="00287CD3"/>
    <w:rsid w:val="00290449"/>
    <w:rsid w:val="002906CB"/>
    <w:rsid w:val="00291183"/>
    <w:rsid w:val="0029212D"/>
    <w:rsid w:val="00292B64"/>
    <w:rsid w:val="00293327"/>
    <w:rsid w:val="00293D35"/>
    <w:rsid w:val="00294730"/>
    <w:rsid w:val="00294DE6"/>
    <w:rsid w:val="00295C63"/>
    <w:rsid w:val="00295D7C"/>
    <w:rsid w:val="002960A6"/>
    <w:rsid w:val="00297377"/>
    <w:rsid w:val="00297E82"/>
    <w:rsid w:val="00297F88"/>
    <w:rsid w:val="002A18A0"/>
    <w:rsid w:val="002A2245"/>
    <w:rsid w:val="002A246D"/>
    <w:rsid w:val="002A2894"/>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BC2"/>
    <w:rsid w:val="002C7CCE"/>
    <w:rsid w:val="002D00E4"/>
    <w:rsid w:val="002D037E"/>
    <w:rsid w:val="002D1CBE"/>
    <w:rsid w:val="002D1DA9"/>
    <w:rsid w:val="002D2C4B"/>
    <w:rsid w:val="002D3CDA"/>
    <w:rsid w:val="002D466B"/>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48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166"/>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444"/>
    <w:rsid w:val="00317D3A"/>
    <w:rsid w:val="00320D21"/>
    <w:rsid w:val="00320FCE"/>
    <w:rsid w:val="0032150B"/>
    <w:rsid w:val="00321693"/>
    <w:rsid w:val="003218AC"/>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3A"/>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0B5"/>
    <w:rsid w:val="003C599D"/>
    <w:rsid w:val="003C7A21"/>
    <w:rsid w:val="003C7C17"/>
    <w:rsid w:val="003D03B0"/>
    <w:rsid w:val="003D1116"/>
    <w:rsid w:val="003D127C"/>
    <w:rsid w:val="003D27B2"/>
    <w:rsid w:val="003D3095"/>
    <w:rsid w:val="003D46B6"/>
    <w:rsid w:val="003D4B50"/>
    <w:rsid w:val="003D4D48"/>
    <w:rsid w:val="003D56E6"/>
    <w:rsid w:val="003D5F91"/>
    <w:rsid w:val="003D7A31"/>
    <w:rsid w:val="003E0438"/>
    <w:rsid w:val="003E1514"/>
    <w:rsid w:val="003E1611"/>
    <w:rsid w:val="003E2BF5"/>
    <w:rsid w:val="003E3009"/>
    <w:rsid w:val="003E31A4"/>
    <w:rsid w:val="003E3910"/>
    <w:rsid w:val="003E4A35"/>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3A85"/>
    <w:rsid w:val="003F5159"/>
    <w:rsid w:val="003F6B0B"/>
    <w:rsid w:val="003F6DFC"/>
    <w:rsid w:val="003F6F9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1A7"/>
    <w:rsid w:val="00410EFA"/>
    <w:rsid w:val="00411013"/>
    <w:rsid w:val="0041285F"/>
    <w:rsid w:val="0041355A"/>
    <w:rsid w:val="004137A2"/>
    <w:rsid w:val="00413E2B"/>
    <w:rsid w:val="0041484B"/>
    <w:rsid w:val="004148E6"/>
    <w:rsid w:val="0041549A"/>
    <w:rsid w:val="00415A07"/>
    <w:rsid w:val="00416020"/>
    <w:rsid w:val="004160DA"/>
    <w:rsid w:val="0041710B"/>
    <w:rsid w:val="004176EC"/>
    <w:rsid w:val="0042207B"/>
    <w:rsid w:val="00423C12"/>
    <w:rsid w:val="00424C42"/>
    <w:rsid w:val="00425456"/>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EA6"/>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2D4"/>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222"/>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FC5"/>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08C"/>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A777C"/>
    <w:rsid w:val="005A7E83"/>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053"/>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391"/>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6C38"/>
    <w:rsid w:val="00627280"/>
    <w:rsid w:val="00627A07"/>
    <w:rsid w:val="00627B31"/>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7D7E"/>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1749"/>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43B5"/>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5A66"/>
    <w:rsid w:val="006A64C8"/>
    <w:rsid w:val="006A699F"/>
    <w:rsid w:val="006A7030"/>
    <w:rsid w:val="006A7D64"/>
    <w:rsid w:val="006B005C"/>
    <w:rsid w:val="006B09E9"/>
    <w:rsid w:val="006B0C32"/>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78D"/>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E13"/>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25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4E26"/>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714"/>
    <w:rsid w:val="007A784E"/>
    <w:rsid w:val="007B10AF"/>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7A2"/>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4804"/>
    <w:rsid w:val="008054DD"/>
    <w:rsid w:val="00806222"/>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688E"/>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4E8"/>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4F69"/>
    <w:rsid w:val="009057C8"/>
    <w:rsid w:val="0090668F"/>
    <w:rsid w:val="00907653"/>
    <w:rsid w:val="00907CCA"/>
    <w:rsid w:val="009100C2"/>
    <w:rsid w:val="0091020F"/>
    <w:rsid w:val="009102D4"/>
    <w:rsid w:val="009107B8"/>
    <w:rsid w:val="00911536"/>
    <w:rsid w:val="0091185C"/>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35"/>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37C77"/>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4B13"/>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1EF"/>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33E"/>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613F"/>
    <w:rsid w:val="00B47370"/>
    <w:rsid w:val="00B50FB1"/>
    <w:rsid w:val="00B5136F"/>
    <w:rsid w:val="00B52252"/>
    <w:rsid w:val="00B52860"/>
    <w:rsid w:val="00B52C70"/>
    <w:rsid w:val="00B52D9C"/>
    <w:rsid w:val="00B52DA3"/>
    <w:rsid w:val="00B54B2C"/>
    <w:rsid w:val="00B55108"/>
    <w:rsid w:val="00B55646"/>
    <w:rsid w:val="00B5652A"/>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022"/>
    <w:rsid w:val="00BC590B"/>
    <w:rsid w:val="00BC7B16"/>
    <w:rsid w:val="00BD0404"/>
    <w:rsid w:val="00BD07D5"/>
    <w:rsid w:val="00BD1785"/>
    <w:rsid w:val="00BD1B97"/>
    <w:rsid w:val="00BD3BA1"/>
    <w:rsid w:val="00BD43AE"/>
    <w:rsid w:val="00BD48F4"/>
    <w:rsid w:val="00BD574C"/>
    <w:rsid w:val="00BD5D41"/>
    <w:rsid w:val="00BD65F9"/>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2C0"/>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7FA"/>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3A6"/>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8773D"/>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7FE"/>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16"/>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7AE"/>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0CE"/>
    <w:rsid w:val="00D70353"/>
    <w:rsid w:val="00D70FC9"/>
    <w:rsid w:val="00D7103B"/>
    <w:rsid w:val="00D713D3"/>
    <w:rsid w:val="00D718E2"/>
    <w:rsid w:val="00D71B3C"/>
    <w:rsid w:val="00D71DEC"/>
    <w:rsid w:val="00D72423"/>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6E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97EC5"/>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549"/>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553"/>
    <w:rsid w:val="00E77728"/>
    <w:rsid w:val="00E80CE3"/>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75C"/>
    <w:rsid w:val="00EA6980"/>
    <w:rsid w:val="00EB08CD"/>
    <w:rsid w:val="00EB115E"/>
    <w:rsid w:val="00EB13C1"/>
    <w:rsid w:val="00EB19DE"/>
    <w:rsid w:val="00EB29C7"/>
    <w:rsid w:val="00EB2C1C"/>
    <w:rsid w:val="00EB33FF"/>
    <w:rsid w:val="00EB354B"/>
    <w:rsid w:val="00EB42A7"/>
    <w:rsid w:val="00EB52DB"/>
    <w:rsid w:val="00EB575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130"/>
    <w:rsid w:val="00EF0AEB"/>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37D"/>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4BF"/>
    <w:rsid w:val="00F836A6"/>
    <w:rsid w:val="00F836CA"/>
    <w:rsid w:val="00F83D60"/>
    <w:rsid w:val="00F83E2B"/>
    <w:rsid w:val="00F83F74"/>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D6F32"/>
    <w:rsid w:val="00FE0EDF"/>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customStyle="1" w:styleId="TALCar">
    <w:name w:val="TAL Car"/>
    <w:qFormat/>
    <w:rsid w:val="00CE5916"/>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2</Pages>
  <Words>789</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Linhai</cp:lastModifiedBy>
  <cp:revision>91</cp:revision>
  <cp:lastPrinted>2019-02-06T01:41:00Z</cp:lastPrinted>
  <dcterms:created xsi:type="dcterms:W3CDTF">2023-08-08T23:00:00Z</dcterms:created>
  <dcterms:modified xsi:type="dcterms:W3CDTF">2023-08-11T04:25:00Z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